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0B" w:rsidRPr="005166C2" w:rsidRDefault="00DB7F0B" w:rsidP="00DB7F0B">
      <w:pPr>
        <w:keepNext/>
        <w:keepLines/>
        <w:spacing w:before="40" w:after="0"/>
        <w:ind w:left="144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301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Matematika Szakképző iskola 9-11. évfolyam</w:t>
      </w:r>
      <w:bookmarkEnd w:id="0"/>
    </w:p>
    <w:p w:rsidR="00DB7F0B" w:rsidRPr="005166C2" w:rsidRDefault="00DB7F0B" w:rsidP="00DB7F0B"/>
    <w:p w:rsidR="00DB7F0B" w:rsidRPr="005166C2" w:rsidRDefault="00DB7F0B" w:rsidP="00DB7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>A matematika tanulásának eredményeként a tanulók megismerik a világ számszerű vonatkozásait,</w:t>
      </w:r>
      <w:r w:rsidRPr="005166C2">
        <w:rPr>
          <w:rFonts w:ascii="Times New Roman" w:hAnsi="Times New Roman"/>
          <w:b/>
          <w:sz w:val="24"/>
          <w:szCs w:val="24"/>
        </w:rPr>
        <w:t xml:space="preserve"> </w:t>
      </w:r>
      <w:r w:rsidRPr="005166C2">
        <w:rPr>
          <w:rFonts w:ascii="Times New Roman" w:hAnsi="Times New Roman"/>
          <w:sz w:val="24"/>
          <w:szCs w:val="24"/>
        </w:rPr>
        <w:t xml:space="preserve">összefüggéseit, az ember szempontjából legfontosabb törvényszerűségeket, </w:t>
      </w:r>
      <w:proofErr w:type="gramStart"/>
      <w:r w:rsidRPr="005166C2">
        <w:rPr>
          <w:rFonts w:ascii="Times New Roman" w:hAnsi="Times New Roman"/>
          <w:sz w:val="24"/>
          <w:szCs w:val="24"/>
        </w:rPr>
        <w:t>relációkat</w:t>
      </w:r>
      <w:proofErr w:type="gramEnd"/>
      <w:r w:rsidRPr="005166C2">
        <w:rPr>
          <w:rFonts w:ascii="Times New Roman" w:hAnsi="Times New Roman"/>
          <w:sz w:val="24"/>
          <w:szCs w:val="24"/>
        </w:rPr>
        <w:t xml:space="preserve">. A tantárgyi ismeretek elsajátítását olyan </w:t>
      </w:r>
      <w:proofErr w:type="gramStart"/>
      <w:r w:rsidRPr="005166C2">
        <w:rPr>
          <w:rFonts w:ascii="Times New Roman" w:hAnsi="Times New Roman"/>
          <w:sz w:val="24"/>
          <w:szCs w:val="24"/>
        </w:rPr>
        <w:t>problémák</w:t>
      </w:r>
      <w:proofErr w:type="gramEnd"/>
      <w:r w:rsidRPr="005166C2">
        <w:rPr>
          <w:rFonts w:ascii="Times New Roman" w:hAnsi="Times New Roman"/>
          <w:sz w:val="24"/>
          <w:szCs w:val="24"/>
        </w:rPr>
        <w:t xml:space="preserve"> felvetésével/probléma-megoldási eljárások alkalmazásával kell segíteni, hogy a tanulók ismerjék fel a matematika gyakorlati életben és ismereteik bővítésében való alkalmazhatóságát más területeken is, valamint hasznosítsák is azt. </w:t>
      </w:r>
      <w:proofErr w:type="spellStart"/>
      <w:r w:rsidRPr="005166C2">
        <w:rPr>
          <w:rFonts w:ascii="Times New Roman" w:hAnsi="Times New Roman"/>
          <w:sz w:val="24"/>
          <w:szCs w:val="24"/>
        </w:rPr>
        <w:t>Mindezek</w:t>
      </w:r>
      <w:proofErr w:type="spellEnd"/>
      <w:r w:rsidRPr="005166C2">
        <w:rPr>
          <w:rFonts w:ascii="Times New Roman" w:hAnsi="Times New Roman"/>
          <w:sz w:val="24"/>
          <w:szCs w:val="24"/>
        </w:rPr>
        <w:t xml:space="preserve"> elemzéséhez, megismeréséhez, de elsősorban szakmai gyakorlati alkalmazásához legyenek algebrai, halmazelméleti, geometriai ismereteik, melyekkel képessé válnak a </w:t>
      </w:r>
      <w:proofErr w:type="gramStart"/>
      <w:r w:rsidRPr="005166C2">
        <w:rPr>
          <w:rFonts w:ascii="Times New Roman" w:hAnsi="Times New Roman"/>
          <w:sz w:val="24"/>
          <w:szCs w:val="24"/>
        </w:rPr>
        <w:t>világ térbeli</w:t>
      </w:r>
      <w:proofErr w:type="gramEnd"/>
      <w:r w:rsidRPr="005166C2">
        <w:rPr>
          <w:rFonts w:ascii="Times New Roman" w:hAnsi="Times New Roman"/>
          <w:sz w:val="24"/>
          <w:szCs w:val="24"/>
        </w:rPr>
        <w:t xml:space="preserve">, időbeli folyamatainak objektív értelmezésére, a változás, fejlődés tendenciáinak felismerésére. </w:t>
      </w:r>
    </w:p>
    <w:p w:rsidR="00DB7F0B" w:rsidRPr="005166C2" w:rsidRDefault="00DB7F0B" w:rsidP="00DB7F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>A tanulási folyamatot, a tevékenységeket úgy kell megszervezni, hogy növekedjék a tanulók figyelem</w:t>
      </w:r>
      <w:proofErr w:type="gramStart"/>
      <w:r w:rsidRPr="005166C2">
        <w:rPr>
          <w:rFonts w:ascii="Times New Roman" w:hAnsi="Times New Roman"/>
          <w:sz w:val="24"/>
          <w:szCs w:val="24"/>
        </w:rPr>
        <w:t>koncentrációja</w:t>
      </w:r>
      <w:proofErr w:type="gramEnd"/>
      <w:r w:rsidRPr="005166C2">
        <w:rPr>
          <w:rFonts w:ascii="Times New Roman" w:hAnsi="Times New Roman"/>
          <w:sz w:val="24"/>
          <w:szCs w:val="24"/>
        </w:rPr>
        <w:t>, fejlődjék önálló és logikus gondolkodásuk, kreativitásuk, probléma- és összefüggés-felismerő, valamint a fegyelmezett, precíz (kooperatív) munkára való képességük, bővüljön kommunikációs terük (szöveg, ábra, jelrendszer), legyen igényük a folyamatos önellenőrzésre.</w:t>
      </w:r>
    </w:p>
    <w:p w:rsidR="00DB7F0B" w:rsidRPr="005166C2" w:rsidRDefault="00DB7F0B" w:rsidP="00DB7F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>Mindezen célok elérése érdekében a hangsúlyokat a következő területekre, tevékenységekre helyezzük: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a hétköznapok matematikája (gyakorlat, becslés, kerekítés, fejben számolás);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kommunikáció fejlesztése (szöveges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probléma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>megoldás);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szövegek matematikai tartalmának értelmezése, elemzése;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kombinatorika, valószínűség, statisztika elemei;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matematikai modellek és alkalmazhatóságuk;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algoritmus, kiszámíthatóság;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mennyiségek közötti kapcsolatok (függvényjellegű, illetve valószínűségi) megértése;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többféle megoldási mód keresése;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önellenőrzés módjai (eredmény realitása);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számológép és számítógép használata. </w:t>
      </w:r>
    </w:p>
    <w:p w:rsidR="00DB7F0B" w:rsidRPr="005166C2" w:rsidRDefault="00DB7F0B" w:rsidP="00DB7F0B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x-none" w:eastAsia="hu-HU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 w:eastAsia="hu-HU"/>
        </w:rPr>
        <w:t>Célunk, hogy a szak</w:t>
      </w:r>
      <w:r w:rsidRPr="005166C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képző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 w:eastAsia="hu-HU"/>
        </w:rPr>
        <w:t>iskola elvégzése után a tanuló legyen képes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elvégezni alapműveleteket racionális számkörben;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elvégezni egész kitevőjű hatványozást a racionális számkörben;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behelyettesíteni, megbecsülni és kiszámolni (géppel) adott (szakmai) képletek értékét;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matematikailag értelmezni egyszerű szöveges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problémákat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megoldani egyszerűbb szöveges feladatokat;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megoldani egyismeretlenes elsőfokú egyenleteket;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értelmezni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relációkat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 (pl. kisebb, nagyobb), logikai kapcsolatokat (pl. és, vagy, ha-akkor, is);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alkalmazni az egyenes és fordított arányosságot, a százalékszámítást;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használni elemi geometriai fogalmakat;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elvégezni elemi méréseket, geometriai számításokat, mértékegységeket használni; 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felismerni a szimmetria, a hasonlóság, az egybevágóság eseteit;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tájékozódni a számegyenesen, a derékszögű koordinátarendszerben;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felismerni egyszerűbb sorozatokat (számtani, mértani); 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felismerni műveletsorokat, algoritmusokat; 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értelmezni, létrehozni egyszerű grafikonokat, diagramokat, táblázatokat;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felismerni, értelmezni a matematika (halmazok, valószínűség-számítás, kombinatorika, statisztika, geometria) elemi fogalmait, szakkifejezéseit; 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megfogalmazni a szakma tanulása során felmerült matematikai jellegű kérdéseit,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problémáit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F0B" w:rsidRPr="005166C2" w:rsidRDefault="00DB7F0B" w:rsidP="00DB7F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új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információkat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>, megoldást keresni könyvtárban, interneten.</w:t>
      </w:r>
    </w:p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 xml:space="preserve">Módszereit és ismeretelemeit tekintve a matematika tanítása szorosan kapcsolódik a többi </w:t>
      </w:r>
      <w:proofErr w:type="gramStart"/>
      <w:r w:rsidRPr="005166C2">
        <w:rPr>
          <w:rFonts w:ascii="Times New Roman" w:hAnsi="Times New Roman"/>
          <w:sz w:val="24"/>
          <w:szCs w:val="24"/>
        </w:rPr>
        <w:t>komplex</w:t>
      </w:r>
      <w:proofErr w:type="gramEnd"/>
      <w:r w:rsidRPr="005166C2">
        <w:rPr>
          <w:rFonts w:ascii="Times New Roman" w:hAnsi="Times New Roman"/>
          <w:sz w:val="24"/>
          <w:szCs w:val="24"/>
        </w:rPr>
        <w:t xml:space="preserve"> műveltségterület moduljaihoz (kommunikáció, értő olvasás, pontos fogalmazás, grafikonok, statisztikák, képletek a szakmában, természeti, gazdasági törvényszerűségek stb.). Folyamatosan kötődnie kell a szakmatanulás szükségleteihez, és eszközként kell alkalmaznia az informatikát (számítógép, oktatóprogramok). </w:t>
      </w:r>
    </w:p>
    <w:p w:rsidR="00DB7F0B" w:rsidRPr="005166C2" w:rsidRDefault="00DB7F0B" w:rsidP="00DB7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 xml:space="preserve">A matematika tanítása alkalmazásközpontú, elsősorban az induktív gondolkodásra épít, tevékenységhez kapcsolódik, és törekszik az egyre önállóbb tanulói munkára is építeni. A tanuló számára – minél csekélyebb előismerettel rendelkezik, annál inkább – a saját hétköznapi teendőin, azok megoldásán át vezethet az út a magasabb </w:t>
      </w:r>
      <w:proofErr w:type="gramStart"/>
      <w:r w:rsidRPr="005166C2">
        <w:rPr>
          <w:rFonts w:ascii="Times New Roman" w:hAnsi="Times New Roman"/>
          <w:sz w:val="24"/>
          <w:szCs w:val="24"/>
        </w:rPr>
        <w:t>absztrakciós</w:t>
      </w:r>
      <w:proofErr w:type="gramEnd"/>
      <w:r w:rsidRPr="005166C2">
        <w:rPr>
          <w:rFonts w:ascii="Times New Roman" w:hAnsi="Times New Roman"/>
          <w:sz w:val="24"/>
          <w:szCs w:val="24"/>
        </w:rPr>
        <w:t xml:space="preserve"> szint felé (aminek itt csupán az alsóbb lépcsőfokaiig juthatunk el). Másrészt minden más ismeretanyag, </w:t>
      </w:r>
      <w:proofErr w:type="gramStart"/>
      <w:r w:rsidRPr="005166C2">
        <w:rPr>
          <w:rFonts w:ascii="Times New Roman" w:hAnsi="Times New Roman"/>
          <w:sz w:val="24"/>
          <w:szCs w:val="24"/>
        </w:rPr>
        <w:t>információ</w:t>
      </w:r>
      <w:proofErr w:type="gramEnd"/>
      <w:r w:rsidRPr="005166C2">
        <w:rPr>
          <w:rFonts w:ascii="Times New Roman" w:hAnsi="Times New Roman"/>
          <w:sz w:val="24"/>
          <w:szCs w:val="24"/>
        </w:rPr>
        <w:t xml:space="preserve"> feldolgozása igényli a matematikai eszközök használatát, e tényt kell tudatosítanunk. A tanítási óra a gyakorlatból (</w:t>
      </w:r>
      <w:proofErr w:type="gramStart"/>
      <w:r w:rsidRPr="005166C2">
        <w:rPr>
          <w:rFonts w:ascii="Times New Roman" w:hAnsi="Times New Roman"/>
          <w:sz w:val="24"/>
          <w:szCs w:val="24"/>
        </w:rPr>
        <w:t>ideális</w:t>
      </w:r>
      <w:proofErr w:type="gramEnd"/>
      <w:r w:rsidRPr="005166C2">
        <w:rPr>
          <w:rFonts w:ascii="Times New Roman" w:hAnsi="Times New Roman"/>
          <w:sz w:val="24"/>
          <w:szCs w:val="24"/>
        </w:rPr>
        <w:t xml:space="preserve"> esetben a tanulók által hozott problémából) indul ki, és következtetései, eredményei (általánosan alkalmazhatóan) oda is térnek vissza. Az </w:t>
      </w:r>
      <w:proofErr w:type="gramStart"/>
      <w:r w:rsidRPr="005166C2">
        <w:rPr>
          <w:rFonts w:ascii="Times New Roman" w:hAnsi="Times New Roman"/>
          <w:sz w:val="24"/>
          <w:szCs w:val="24"/>
        </w:rPr>
        <w:t>óravezetésnek</w:t>
      </w:r>
      <w:proofErr w:type="gramEnd"/>
      <w:r w:rsidRPr="005166C2">
        <w:rPr>
          <w:rFonts w:ascii="Times New Roman" w:hAnsi="Times New Roman"/>
          <w:sz w:val="24"/>
          <w:szCs w:val="24"/>
        </w:rPr>
        <w:t xml:space="preserve"> rugalmasnak, spontánnak kell lennie, gyakran és hangsúlyozottan a tanulók ötleteire, kérdéseire, kéréseire kell alapoznia.</w:t>
      </w:r>
    </w:p>
    <w:p w:rsidR="00DB7F0B" w:rsidRPr="005166C2" w:rsidRDefault="00DB7F0B" w:rsidP="00DB7F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>Az egyes évfolyamokon a fő témakörök ismétlődnek (a feladatok nem!), ami egyre bővülő, magasabb szinten történő ismétlésre és elmélyítésre ad lehetőséget, elősegíti a már ismert anyag rögzítését, illetve módot ad az előző évi ismeretek kiegészítésére, a következő év szintjének beállítására. Itt a tanárnak jelentős differenciálásra van módja az egyes osztályok és egyes tanulók előképzettsége, motiváltsága, képességei szerint.</w:t>
      </w:r>
    </w:p>
    <w:p w:rsidR="00DB7F0B" w:rsidRPr="005166C2" w:rsidRDefault="00DB7F0B" w:rsidP="00DB7F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 xml:space="preserve">(A tematikus egységekhez rendelt óraszámok hozzávetőleges arányokat fejeznek ki, minthogy a tantárgyi sajátosságok következtében az egyes részegységek feldolgozásában átfedések fordulnak elő, pl. képletek behelyettesítése, képletgyűjtemények használata a geometria, az algebra, a függvények témakörnél is előfordul, vagy szöveges </w:t>
      </w:r>
      <w:proofErr w:type="gramStart"/>
      <w:r w:rsidRPr="005166C2">
        <w:rPr>
          <w:rFonts w:ascii="Times New Roman" w:hAnsi="Times New Roman"/>
          <w:sz w:val="24"/>
          <w:szCs w:val="24"/>
        </w:rPr>
        <w:t>probléma</w:t>
      </w:r>
      <w:proofErr w:type="gramEnd"/>
      <w:r w:rsidRPr="005166C2">
        <w:rPr>
          <w:rFonts w:ascii="Times New Roman" w:hAnsi="Times New Roman"/>
          <w:sz w:val="24"/>
          <w:szCs w:val="24"/>
        </w:rPr>
        <w:t xml:space="preserve"> megoldásakor geometriai jellegű kérdésből is kiindulhatunk.) </w:t>
      </w:r>
    </w:p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F0B" w:rsidRPr="005166C2" w:rsidRDefault="00DB7F0B" w:rsidP="00DB7F0B">
      <w:pPr>
        <w:tabs>
          <w:tab w:val="center" w:pos="471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b/>
          <w:sz w:val="24"/>
          <w:szCs w:val="24"/>
        </w:rPr>
        <w:tab/>
        <w:t>9. évfolyam</w:t>
      </w: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1"/>
        <w:gridCol w:w="1191"/>
      </w:tblGrid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Halmazok, számtan, algebra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 </w:t>
            </w: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Gondolkodási módszerek, halmazok, kombinatorika, valószínűség, statisztika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18 óra</w:t>
            </w:r>
          </w:p>
        </w:tc>
      </w:tr>
    </w:tbl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1"/>
        <w:gridCol w:w="1191"/>
      </w:tblGrid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Függvények, sorozatok, egyenletek, algoritmus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18 óra</w:t>
            </w:r>
          </w:p>
        </w:tc>
      </w:tr>
    </w:tbl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1"/>
        <w:gridCol w:w="1191"/>
      </w:tblGrid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A geometria alapjai</w:t>
            </w:r>
            <w:r w:rsidRPr="0051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18 óra</w:t>
            </w:r>
          </w:p>
        </w:tc>
      </w:tr>
    </w:tbl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166C2">
        <w:rPr>
          <w:rFonts w:ascii="Times New Roman" w:hAnsi="Times New Roman"/>
          <w:b/>
          <w:sz w:val="24"/>
          <w:szCs w:val="24"/>
        </w:rPr>
        <w:t>Összesen:72 óra</w:t>
      </w:r>
    </w:p>
    <w:p w:rsidR="00DB7F0B" w:rsidRPr="005166C2" w:rsidRDefault="00DB7F0B" w:rsidP="00DB7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66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b/>
          <w:sz w:val="24"/>
          <w:szCs w:val="24"/>
        </w:rPr>
        <w:t>10. évfolyam</w:t>
      </w:r>
    </w:p>
    <w:p w:rsidR="00DB7F0B" w:rsidRPr="005166C2" w:rsidRDefault="00DB7F0B" w:rsidP="00DB7F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1"/>
        <w:gridCol w:w="1191"/>
      </w:tblGrid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Számtan, algebra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</w:tbl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1"/>
        <w:gridCol w:w="1191"/>
      </w:tblGrid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Gondolkodási módszerek, halmazok, kombinatorika, valószínűség, statisztika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20 óra</w:t>
            </w:r>
          </w:p>
        </w:tc>
      </w:tr>
    </w:tbl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1"/>
        <w:gridCol w:w="1191"/>
      </w:tblGrid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Függvények, sorozatok, egyenletek, algoritmus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20 óra</w:t>
            </w:r>
          </w:p>
        </w:tc>
      </w:tr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A geometria alapjai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18 óra</w:t>
            </w:r>
          </w:p>
        </w:tc>
      </w:tr>
    </w:tbl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 xml:space="preserve"> </w:t>
      </w:r>
    </w:p>
    <w:p w:rsidR="00DB7F0B" w:rsidRPr="005166C2" w:rsidRDefault="00DB7F0B" w:rsidP="00DB7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166C2">
        <w:rPr>
          <w:rFonts w:ascii="Times New Roman" w:hAnsi="Times New Roman"/>
          <w:b/>
          <w:sz w:val="24"/>
          <w:szCs w:val="24"/>
        </w:rPr>
        <w:t>Összesen:72 óra</w:t>
      </w:r>
    </w:p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b/>
          <w:sz w:val="24"/>
          <w:szCs w:val="24"/>
        </w:rPr>
        <w:t>11. évfolyam</w:t>
      </w:r>
    </w:p>
    <w:p w:rsidR="00DB7F0B" w:rsidRPr="005166C2" w:rsidRDefault="00DB7F0B" w:rsidP="00DB7F0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1"/>
        <w:gridCol w:w="1191"/>
      </w:tblGrid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Számtan, algebra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 </w:t>
            </w: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</w:tbl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1"/>
        <w:gridCol w:w="1191"/>
      </w:tblGrid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Gondolkodási módszerek, halmazok, kombinatorika, valószínűség, statisztika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16 óra</w:t>
            </w:r>
          </w:p>
        </w:tc>
      </w:tr>
    </w:tbl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1"/>
        <w:gridCol w:w="1191"/>
      </w:tblGrid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Függvények, sorozatok, egyenletek, algoritmus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10 óra</w:t>
            </w:r>
          </w:p>
        </w:tc>
      </w:tr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7F0B" w:rsidRPr="005166C2" w:rsidTr="002120C8">
        <w:tc>
          <w:tcPr>
            <w:tcW w:w="2109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77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 xml:space="preserve">          Kerület, terület, felszín, térfogat</w:t>
            </w:r>
          </w:p>
        </w:tc>
        <w:tc>
          <w:tcPr>
            <w:tcW w:w="1191" w:type="dxa"/>
            <w:vAlign w:val="center"/>
          </w:tcPr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DB7F0B" w:rsidRPr="005166C2" w:rsidRDefault="00DB7F0B" w:rsidP="0021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/>
                <w:b/>
                <w:sz w:val="24"/>
                <w:szCs w:val="24"/>
              </w:rPr>
              <w:t>18 óra</w:t>
            </w:r>
          </w:p>
        </w:tc>
      </w:tr>
    </w:tbl>
    <w:p w:rsidR="00DB7F0B" w:rsidRPr="005166C2" w:rsidRDefault="00DB7F0B" w:rsidP="00DB7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6C2">
        <w:rPr>
          <w:rFonts w:ascii="Times New Roman" w:hAnsi="Times New Roman"/>
          <w:sz w:val="24"/>
          <w:szCs w:val="24"/>
        </w:rPr>
        <w:t xml:space="preserve"> </w:t>
      </w:r>
    </w:p>
    <w:p w:rsidR="00DB7F0B" w:rsidRPr="005166C2" w:rsidRDefault="00DB7F0B" w:rsidP="00DB7F0B">
      <w:pPr>
        <w:spacing w:after="0" w:line="240" w:lineRule="auto"/>
      </w:pPr>
      <w:r w:rsidRPr="005166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5166C2">
        <w:rPr>
          <w:rFonts w:ascii="Times New Roman" w:hAnsi="Times New Roman"/>
          <w:b/>
          <w:sz w:val="24"/>
          <w:szCs w:val="24"/>
        </w:rPr>
        <w:t>Összesen: 62 óra</w:t>
      </w:r>
    </w:p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01A8"/>
    <w:multiLevelType w:val="hybridMultilevel"/>
    <w:tmpl w:val="653E8002"/>
    <w:lvl w:ilvl="0" w:tplc="2C9EF74C">
      <w:numFmt w:val="bullet"/>
      <w:lvlText w:val="—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0B"/>
    <w:rsid w:val="00BD1A8E"/>
    <w:rsid w:val="00D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A621-2ABC-4DEF-B853-61A58635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7F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2025-05-21T11:10:00Z</dcterms:created>
  <dcterms:modified xsi:type="dcterms:W3CDTF">2025-05-21T11:10:00Z</dcterms:modified>
</cp:coreProperties>
</file>